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57FD53" w14:textId="77777777" w:rsidR="0020360B" w:rsidRDefault="0020360B" w:rsidP="0020360B">
      <w:pPr>
        <w:widowControl w:val="0"/>
        <w:spacing w:after="0" w:line="240" w:lineRule="auto"/>
        <w:jc w:val="center"/>
        <w:rPr>
          <w:rFonts w:ascii="Century Gothic" w:eastAsia="Zine Serif Display OT" w:hAnsi="Century Gothic" w:cs="Zine Serif Display OT"/>
          <w:spacing w:val="-2"/>
          <w:sz w:val="32"/>
          <w:szCs w:val="18"/>
        </w:rPr>
      </w:pPr>
    </w:p>
    <w:p w14:paraId="4D9E4174" w14:textId="77777777" w:rsidR="0020360B" w:rsidRPr="0020360B" w:rsidRDefault="0020360B" w:rsidP="0020360B">
      <w:pPr>
        <w:widowControl w:val="0"/>
        <w:spacing w:after="0" w:line="240" w:lineRule="auto"/>
        <w:jc w:val="center"/>
        <w:rPr>
          <w:rFonts w:ascii="Century Gothic" w:eastAsia="Zine Serif Display OT" w:hAnsi="Century Gothic" w:cs="Zine Serif Display OT"/>
          <w:spacing w:val="-2"/>
          <w:sz w:val="32"/>
          <w:szCs w:val="18"/>
        </w:rPr>
      </w:pPr>
      <w:r w:rsidRPr="0020360B">
        <w:rPr>
          <w:rFonts w:ascii="Century Gothic" w:eastAsia="Zine Serif Display OT" w:hAnsi="Century Gothic" w:cs="Zine Serif Display OT"/>
          <w:spacing w:val="-2"/>
          <w:sz w:val="32"/>
          <w:szCs w:val="18"/>
        </w:rPr>
        <w:t>Demande de financement pour le dispositif :</w:t>
      </w:r>
    </w:p>
    <w:p w14:paraId="4B41D2FC" w14:textId="5F52DC2B" w:rsidR="0020360B" w:rsidRPr="0020360B" w:rsidRDefault="00326236" w:rsidP="0020360B">
      <w:pPr>
        <w:widowControl w:val="0"/>
        <w:spacing w:after="0" w:line="240" w:lineRule="auto"/>
        <w:jc w:val="center"/>
        <w:rPr>
          <w:rFonts w:ascii="Century Gothic" w:eastAsia="Zine Serif Display OT" w:hAnsi="Century Gothic" w:cs="Zine Serif Display OT"/>
          <w:b/>
          <w:spacing w:val="-2"/>
          <w:sz w:val="32"/>
          <w:szCs w:val="18"/>
        </w:rPr>
      </w:pPr>
      <w:r>
        <w:rPr>
          <w:rFonts w:ascii="Century Gothic" w:eastAsia="Zine Serif Display OT" w:hAnsi="Century Gothic" w:cs="Zine Serif Display OT"/>
          <w:b/>
          <w:spacing w:val="-2"/>
          <w:sz w:val="32"/>
          <w:szCs w:val="18"/>
        </w:rPr>
        <w:t xml:space="preserve">Accompagnement au Montage de projets </w:t>
      </w:r>
      <w:r w:rsidR="0020360B" w:rsidRPr="0020360B">
        <w:rPr>
          <w:rFonts w:ascii="Century Gothic" w:eastAsia="Zine Serif Display OT" w:hAnsi="Century Gothic" w:cs="Zine Serif Display OT"/>
          <w:b/>
          <w:spacing w:val="-2"/>
          <w:sz w:val="32"/>
          <w:szCs w:val="18"/>
        </w:rPr>
        <w:t>transfrontali</w:t>
      </w:r>
      <w:r>
        <w:rPr>
          <w:rFonts w:ascii="Century Gothic" w:eastAsia="Zine Serif Display OT" w:hAnsi="Century Gothic" w:cs="Zine Serif Display OT"/>
          <w:b/>
          <w:spacing w:val="-2"/>
          <w:sz w:val="32"/>
          <w:szCs w:val="18"/>
        </w:rPr>
        <w:t>ers</w:t>
      </w:r>
    </w:p>
    <w:p w14:paraId="3747F134" w14:textId="77777777" w:rsidR="0020360B" w:rsidRPr="0020360B" w:rsidRDefault="0020360B" w:rsidP="0020360B">
      <w:pPr>
        <w:widowControl w:val="0"/>
        <w:spacing w:after="0" w:line="240" w:lineRule="auto"/>
        <w:jc w:val="both"/>
        <w:rPr>
          <w:rFonts w:ascii="Century Gothic" w:eastAsia="Zine Serif Display OT" w:hAnsi="Century Gothic" w:cs="Zine Serif Display OT"/>
          <w:b/>
          <w:color w:val="000000"/>
          <w:spacing w:val="-2"/>
          <w:sz w:val="18"/>
          <w:szCs w:val="18"/>
        </w:rPr>
      </w:pPr>
    </w:p>
    <w:p w14:paraId="32A2C720" w14:textId="3CEDC997" w:rsidR="007846DC" w:rsidRPr="00FD12E6" w:rsidRDefault="007846DC" w:rsidP="007D3EBE">
      <w:pPr>
        <w:jc w:val="center"/>
      </w:pPr>
      <w:r w:rsidRPr="00924CC2">
        <w:rPr>
          <w:rFonts w:ascii="Century Gothic" w:eastAsia="Zine Serif Display OT" w:hAnsi="Century Gothic" w:cs="Zine Serif Display OT"/>
          <w:b/>
          <w:color w:val="009ED6"/>
          <w:spacing w:val="-2"/>
          <w:sz w:val="32"/>
          <w:szCs w:val="18"/>
          <w:u w:val="single"/>
        </w:rPr>
        <w:t>Règlement</w:t>
      </w:r>
    </w:p>
    <w:p w14:paraId="546227C0" w14:textId="132E13DC" w:rsidR="00540C52" w:rsidRPr="00540C52" w:rsidRDefault="00540C52" w:rsidP="00540C52">
      <w:pPr>
        <w:pStyle w:val="Sansinterligne"/>
        <w:rPr>
          <w:rFonts w:ascii="Century Gothic" w:hAnsi="Century Gothic"/>
          <w:sz w:val="18"/>
          <w:szCs w:val="18"/>
        </w:rPr>
      </w:pPr>
    </w:p>
    <w:p w14:paraId="549BD4A1" w14:textId="77777777" w:rsidR="00540C52" w:rsidRPr="008246B6" w:rsidRDefault="00540C52" w:rsidP="00540C52">
      <w:pPr>
        <w:pStyle w:val="Sansinterligne"/>
        <w:rPr>
          <w:rFonts w:ascii="Century Gothic" w:eastAsiaTheme="majorEastAsia" w:hAnsi="Century Gothic"/>
          <w:bCs/>
          <w:color w:val="008ECC"/>
          <w:sz w:val="18"/>
          <w:szCs w:val="18"/>
        </w:rPr>
      </w:pPr>
      <w:r w:rsidRPr="008246B6">
        <w:rPr>
          <w:rFonts w:ascii="Century Gothic" w:eastAsiaTheme="majorEastAsia" w:hAnsi="Century Gothic"/>
          <w:bCs/>
          <w:color w:val="008ECC"/>
          <w:sz w:val="18"/>
          <w:szCs w:val="18"/>
        </w:rPr>
        <w:t>Objectifs </w:t>
      </w:r>
    </w:p>
    <w:p w14:paraId="398B6E2C" w14:textId="7FC67CE3" w:rsidR="002C299A" w:rsidRPr="00EF562B" w:rsidRDefault="002C299A" w:rsidP="002C299A">
      <w:pPr>
        <w:pStyle w:val="Sansinterligne"/>
        <w:rPr>
          <w:rFonts w:ascii="Century Gothic" w:hAnsi="Century Gothic"/>
          <w:color w:val="333333"/>
          <w:sz w:val="18"/>
          <w:szCs w:val="18"/>
        </w:rPr>
      </w:pPr>
      <w:r w:rsidRPr="00EF562B">
        <w:rPr>
          <w:rFonts w:ascii="Century Gothic" w:hAnsi="Century Gothic"/>
          <w:color w:val="333333"/>
          <w:sz w:val="18"/>
          <w:szCs w:val="18"/>
        </w:rPr>
        <w:t xml:space="preserve">Le dispositif d’accompagnement au montage de projets transfrontaliers vise à permettre de </w:t>
      </w:r>
      <w:r w:rsidRPr="00EF562B">
        <w:rPr>
          <w:rFonts w:ascii="Century Gothic" w:hAnsi="Century Gothic"/>
          <w:b/>
          <w:color w:val="333333"/>
          <w:sz w:val="18"/>
          <w:szCs w:val="18"/>
        </w:rPr>
        <w:t xml:space="preserve">passer d’une idée de collaboration à la structuration de projets transfrontaliers </w:t>
      </w:r>
      <w:r w:rsidRPr="00EF562B">
        <w:rPr>
          <w:rFonts w:ascii="Century Gothic" w:hAnsi="Century Gothic"/>
          <w:color w:val="333333"/>
          <w:sz w:val="18"/>
          <w:szCs w:val="18"/>
        </w:rPr>
        <w:t>(</w:t>
      </w:r>
      <w:r w:rsidR="00973ED0">
        <w:rPr>
          <w:rFonts w:ascii="Century Gothic" w:hAnsi="Century Gothic"/>
          <w:color w:val="333333"/>
          <w:sz w:val="18"/>
          <w:szCs w:val="18"/>
        </w:rPr>
        <w:t xml:space="preserve">e.g. aide à la stabilisation de partenariat, au </w:t>
      </w:r>
      <w:r w:rsidRPr="00EF562B">
        <w:rPr>
          <w:rFonts w:ascii="Century Gothic" w:hAnsi="Century Gothic"/>
          <w:color w:val="333333"/>
          <w:sz w:val="18"/>
          <w:szCs w:val="18"/>
        </w:rPr>
        <w:t>renforcement des ressources et des compétences au montage,</w:t>
      </w:r>
      <w:r>
        <w:rPr>
          <w:rFonts w:ascii="Century Gothic" w:hAnsi="Century Gothic"/>
          <w:color w:val="333333"/>
          <w:sz w:val="18"/>
          <w:szCs w:val="18"/>
        </w:rPr>
        <w:t>...</w:t>
      </w:r>
      <w:r w:rsidR="00973ED0">
        <w:rPr>
          <w:rFonts w:ascii="Century Gothic" w:hAnsi="Century Gothic"/>
          <w:color w:val="333333"/>
          <w:sz w:val="18"/>
          <w:szCs w:val="18"/>
        </w:rPr>
        <w:t>)</w:t>
      </w:r>
      <w:r w:rsidRPr="00EF562B">
        <w:rPr>
          <w:rFonts w:ascii="Century Gothic" w:hAnsi="Century Gothic"/>
          <w:color w:val="333333"/>
          <w:sz w:val="18"/>
          <w:szCs w:val="18"/>
        </w:rPr>
        <w:t>.</w:t>
      </w:r>
      <w:r w:rsidR="00973ED0">
        <w:rPr>
          <w:rFonts w:ascii="Century Gothic" w:hAnsi="Century Gothic"/>
          <w:color w:val="333333"/>
          <w:sz w:val="18"/>
          <w:szCs w:val="18"/>
        </w:rPr>
        <w:t xml:space="preserve"> </w:t>
      </w:r>
      <w:r w:rsidRPr="00EF562B">
        <w:rPr>
          <w:rFonts w:ascii="Century Gothic" w:hAnsi="Century Gothic"/>
          <w:color w:val="333333"/>
          <w:sz w:val="18"/>
          <w:szCs w:val="18"/>
        </w:rPr>
        <w:t>Les fonds peuvent également être accordés pour permettre de </w:t>
      </w:r>
      <w:r w:rsidRPr="002C299A">
        <w:rPr>
          <w:rFonts w:ascii="Century Gothic" w:hAnsi="Century Gothic"/>
          <w:color w:val="333333"/>
          <w:sz w:val="18"/>
          <w:szCs w:val="18"/>
        </w:rPr>
        <w:t>constituer des dossiers de demande de financements plus substantiels auprès de programmes européens, nationaux ou transfrontaliers</w:t>
      </w:r>
      <w:r w:rsidRPr="00EF562B">
        <w:rPr>
          <w:rFonts w:ascii="Century Gothic" w:hAnsi="Century Gothic"/>
          <w:color w:val="333333"/>
          <w:sz w:val="18"/>
          <w:szCs w:val="18"/>
        </w:rPr>
        <w:t>. Les projets peuvent se déployer dans les domaines de la formation, de la recherche, de l’innovation et du transfert de savoirs et de technologie.</w:t>
      </w:r>
    </w:p>
    <w:p w14:paraId="7BE523CB" w14:textId="463D134F" w:rsidR="00540C52" w:rsidRPr="008246B6" w:rsidRDefault="00540C52" w:rsidP="00540C52">
      <w:pPr>
        <w:pStyle w:val="Sansinterligne"/>
        <w:rPr>
          <w:rFonts w:ascii="Century Gothic" w:hAnsi="Century Gothic"/>
          <w:color w:val="333333"/>
          <w:sz w:val="18"/>
          <w:szCs w:val="18"/>
        </w:rPr>
      </w:pPr>
      <w:r w:rsidRPr="008246B6">
        <w:rPr>
          <w:rFonts w:ascii="Century Gothic" w:hAnsi="Century Gothic"/>
          <w:color w:val="333333"/>
          <w:sz w:val="18"/>
          <w:szCs w:val="18"/>
        </w:rPr>
        <w:t>L'appel à projet encourage les collaborations avec des partenaires tiers.</w:t>
      </w:r>
    </w:p>
    <w:p w14:paraId="7B7D8048" w14:textId="77777777" w:rsidR="008D64D2" w:rsidRPr="002C299A" w:rsidRDefault="008D64D2" w:rsidP="00540C52">
      <w:pPr>
        <w:pStyle w:val="Sansinterligne"/>
        <w:rPr>
          <w:sz w:val="18"/>
        </w:rPr>
      </w:pPr>
    </w:p>
    <w:p w14:paraId="084625A3" w14:textId="77777777" w:rsidR="00540C52" w:rsidRPr="008246B6" w:rsidRDefault="00540C52" w:rsidP="00540C52">
      <w:pPr>
        <w:pStyle w:val="Sansinterligne"/>
        <w:rPr>
          <w:rFonts w:ascii="Century Gothic" w:eastAsiaTheme="majorEastAsia" w:hAnsi="Century Gothic"/>
          <w:color w:val="008ECC"/>
          <w:sz w:val="18"/>
          <w:szCs w:val="18"/>
        </w:rPr>
      </w:pPr>
      <w:r w:rsidRPr="008246B6">
        <w:rPr>
          <w:rFonts w:ascii="Century Gothic" w:eastAsiaTheme="majorEastAsia" w:hAnsi="Century Gothic"/>
          <w:color w:val="008ECC"/>
          <w:sz w:val="18"/>
          <w:szCs w:val="18"/>
        </w:rPr>
        <w:t>Financement accordé</w:t>
      </w:r>
    </w:p>
    <w:p w14:paraId="061E93CB" w14:textId="7DCB7734" w:rsidR="00540C52" w:rsidRDefault="00540C52" w:rsidP="00540C52">
      <w:pPr>
        <w:pStyle w:val="Sansinterligne"/>
        <w:rPr>
          <w:rFonts w:ascii="Century Gothic" w:hAnsi="Century Gothic"/>
          <w:b/>
          <w:color w:val="333333"/>
          <w:sz w:val="18"/>
          <w:szCs w:val="18"/>
        </w:rPr>
      </w:pPr>
      <w:r w:rsidRPr="008246B6">
        <w:rPr>
          <w:rFonts w:ascii="Century Gothic" w:hAnsi="Century Gothic"/>
          <w:color w:val="333333"/>
          <w:sz w:val="18"/>
          <w:szCs w:val="18"/>
        </w:rPr>
        <w:t xml:space="preserve">L’appel à projets pour </w:t>
      </w:r>
      <w:r w:rsidR="00C3563D">
        <w:rPr>
          <w:rFonts w:ascii="Century Gothic" w:hAnsi="Century Gothic"/>
          <w:color w:val="333333"/>
          <w:sz w:val="18"/>
          <w:szCs w:val="18"/>
        </w:rPr>
        <w:t xml:space="preserve">l’accompagnement au montage de projet transfrontaliers </w:t>
      </w:r>
      <w:r w:rsidRPr="008246B6">
        <w:rPr>
          <w:rFonts w:ascii="Century Gothic" w:hAnsi="Century Gothic"/>
          <w:color w:val="333333"/>
          <w:sz w:val="18"/>
          <w:szCs w:val="18"/>
        </w:rPr>
        <w:t xml:space="preserve">peut être sollicité </w:t>
      </w:r>
      <w:r w:rsidRPr="008246B6">
        <w:rPr>
          <w:rFonts w:ascii="Century Gothic" w:hAnsi="Century Gothic"/>
          <w:b/>
          <w:color w:val="333333"/>
          <w:sz w:val="18"/>
          <w:szCs w:val="18"/>
        </w:rPr>
        <w:t xml:space="preserve">sous réserve des </w:t>
      </w:r>
      <w:r w:rsidRPr="00FD12E6">
        <w:rPr>
          <w:rFonts w:ascii="Century Gothic" w:hAnsi="Century Gothic"/>
          <w:b/>
          <w:color w:val="333333"/>
          <w:sz w:val="18"/>
          <w:szCs w:val="18"/>
        </w:rPr>
        <w:t xml:space="preserve">financements disponibles au sein de la Communauté du savoir pour un montant maximum par projet de </w:t>
      </w:r>
      <w:r w:rsidR="00C3563D" w:rsidRPr="00FD12E6">
        <w:rPr>
          <w:rFonts w:ascii="Century Gothic" w:hAnsi="Century Gothic"/>
          <w:b/>
          <w:color w:val="333333"/>
          <w:sz w:val="18"/>
          <w:szCs w:val="18"/>
        </w:rPr>
        <w:t>6 000</w:t>
      </w:r>
      <w:r w:rsidRPr="00FD12E6">
        <w:rPr>
          <w:rFonts w:ascii="Century Gothic" w:hAnsi="Century Gothic"/>
          <w:b/>
          <w:color w:val="333333"/>
          <w:sz w:val="18"/>
          <w:szCs w:val="18"/>
        </w:rPr>
        <w:t xml:space="preserve"> € TTC (ou </w:t>
      </w:r>
      <w:r w:rsidR="00FD12E6" w:rsidRPr="00FD12E6">
        <w:rPr>
          <w:rFonts w:ascii="Century Gothic" w:hAnsi="Century Gothic"/>
          <w:b/>
          <w:color w:val="333333"/>
          <w:sz w:val="18"/>
          <w:szCs w:val="18"/>
        </w:rPr>
        <w:t>6 60</w:t>
      </w:r>
      <w:r w:rsidR="00C3563D" w:rsidRPr="00FD12E6">
        <w:rPr>
          <w:rFonts w:ascii="Century Gothic" w:hAnsi="Century Gothic"/>
          <w:b/>
          <w:color w:val="333333"/>
          <w:sz w:val="18"/>
          <w:szCs w:val="18"/>
        </w:rPr>
        <w:t>0</w:t>
      </w:r>
      <w:r w:rsidR="00357675" w:rsidRPr="00FD12E6">
        <w:rPr>
          <w:rFonts w:ascii="Century Gothic" w:hAnsi="Century Gothic"/>
          <w:b/>
          <w:color w:val="333333"/>
          <w:sz w:val="18"/>
          <w:szCs w:val="18"/>
        </w:rPr>
        <w:t xml:space="preserve"> </w:t>
      </w:r>
      <w:r w:rsidRPr="00FD12E6">
        <w:rPr>
          <w:rFonts w:ascii="Century Gothic" w:hAnsi="Century Gothic"/>
          <w:b/>
          <w:color w:val="333333"/>
          <w:sz w:val="18"/>
          <w:szCs w:val="18"/>
        </w:rPr>
        <w:t>CHF TTC).</w:t>
      </w:r>
    </w:p>
    <w:p w14:paraId="42F76AE9" w14:textId="47A8054F" w:rsidR="0095483B" w:rsidRPr="008246B6" w:rsidRDefault="0095483B" w:rsidP="0095483B">
      <w:pPr>
        <w:pStyle w:val="Sansinterligne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La</w:t>
      </w:r>
      <w:r w:rsidRPr="008246B6">
        <w:rPr>
          <w:rFonts w:ascii="Century Gothic" w:hAnsi="Century Gothic"/>
          <w:sz w:val="18"/>
          <w:szCs w:val="18"/>
        </w:rPr>
        <w:t xml:space="preserve"> Communauté du savoir peut accorder un montant inférieur à ceux indiqués sur l’appel à projets, en foncti</w:t>
      </w:r>
      <w:r>
        <w:rPr>
          <w:rFonts w:ascii="Century Gothic" w:hAnsi="Century Gothic"/>
          <w:sz w:val="18"/>
          <w:szCs w:val="18"/>
        </w:rPr>
        <w:t>on des financements disponibles et du caractère du projet.</w:t>
      </w:r>
    </w:p>
    <w:p w14:paraId="6D2732C8" w14:textId="77777777" w:rsidR="00540C52" w:rsidRPr="008246B6" w:rsidRDefault="00540C52" w:rsidP="00540C52">
      <w:pPr>
        <w:pStyle w:val="Sansinterligne"/>
        <w:rPr>
          <w:rFonts w:ascii="Century Gothic" w:hAnsi="Century Gothic"/>
          <w:color w:val="333333"/>
          <w:sz w:val="18"/>
          <w:szCs w:val="18"/>
        </w:rPr>
      </w:pPr>
      <w:r w:rsidRPr="008246B6">
        <w:rPr>
          <w:rFonts w:ascii="Century Gothic" w:hAnsi="Century Gothic"/>
          <w:color w:val="333333"/>
          <w:sz w:val="18"/>
          <w:szCs w:val="18"/>
        </w:rPr>
        <w:t>Le financement accordé n’est pas exclusif au sens où il encourage les logiques de co-financement. Les fonds à disposition sont donc considérés comme une aide complémentaire à tout autre soutien financier existant.</w:t>
      </w:r>
    </w:p>
    <w:p w14:paraId="223F40B8" w14:textId="77777777" w:rsidR="00FD12E6" w:rsidRDefault="00FD12E6" w:rsidP="00FD12E6">
      <w:pPr>
        <w:pStyle w:val="Sansinterligne"/>
        <w:rPr>
          <w:rFonts w:ascii="Century Gothic" w:eastAsiaTheme="majorEastAsia" w:hAnsi="Century Gothic"/>
          <w:color w:val="008ECC"/>
          <w:sz w:val="18"/>
          <w:szCs w:val="18"/>
        </w:rPr>
      </w:pPr>
    </w:p>
    <w:p w14:paraId="5EB34986" w14:textId="0F49EE14" w:rsidR="00FD12E6" w:rsidRPr="008246B6" w:rsidRDefault="00FD12E6" w:rsidP="00FD12E6">
      <w:pPr>
        <w:pStyle w:val="Sansinterligne"/>
        <w:rPr>
          <w:rStyle w:val="lev"/>
          <w:rFonts w:ascii="Century Gothic" w:eastAsiaTheme="majorEastAsia" w:hAnsi="Century Gothic" w:cs="Arial"/>
          <w:color w:val="333333"/>
          <w:sz w:val="18"/>
          <w:szCs w:val="18"/>
          <w:bdr w:val="none" w:sz="0" w:space="0" w:color="auto" w:frame="1"/>
        </w:rPr>
      </w:pPr>
      <w:r w:rsidRPr="008246B6">
        <w:rPr>
          <w:rFonts w:ascii="Century Gothic" w:eastAsiaTheme="majorEastAsia" w:hAnsi="Century Gothic"/>
          <w:color w:val="008ECC"/>
          <w:sz w:val="18"/>
          <w:szCs w:val="18"/>
        </w:rPr>
        <w:t>Critères d’éligibilité</w:t>
      </w:r>
      <w:r w:rsidRPr="008246B6">
        <w:rPr>
          <w:rStyle w:val="lev"/>
          <w:rFonts w:ascii="Century Gothic" w:eastAsiaTheme="majorEastAsia" w:hAnsi="Century Gothic" w:cs="Arial"/>
          <w:color w:val="333333"/>
          <w:sz w:val="18"/>
          <w:szCs w:val="18"/>
          <w:bdr w:val="none" w:sz="0" w:space="0" w:color="auto" w:frame="1"/>
        </w:rPr>
        <w:t> </w:t>
      </w:r>
    </w:p>
    <w:p w14:paraId="1F18950D" w14:textId="77777777" w:rsidR="00FD12E6" w:rsidRDefault="00FD12E6" w:rsidP="00FD12E6">
      <w:pPr>
        <w:pStyle w:val="Sansinterligne"/>
        <w:rPr>
          <w:rFonts w:ascii="Century Gothic" w:hAnsi="Century Gothic"/>
          <w:color w:val="333333"/>
          <w:sz w:val="18"/>
          <w:szCs w:val="18"/>
        </w:rPr>
      </w:pPr>
      <w:r>
        <w:rPr>
          <w:rFonts w:ascii="Century Gothic" w:hAnsi="Century Gothic"/>
          <w:color w:val="333333"/>
          <w:sz w:val="18"/>
          <w:szCs w:val="18"/>
        </w:rPr>
        <w:t>&gt; Le projet doit intégrer une dimension transfrontalières France Suisse.</w:t>
      </w:r>
    </w:p>
    <w:p w14:paraId="0D1ADD28" w14:textId="77777777" w:rsidR="00FD12E6" w:rsidRDefault="00FD12E6" w:rsidP="00FD12E6">
      <w:pPr>
        <w:pStyle w:val="Sansinterligne"/>
        <w:rPr>
          <w:rFonts w:ascii="Century Gothic" w:hAnsi="Century Gothic"/>
          <w:color w:val="333333"/>
          <w:sz w:val="18"/>
          <w:szCs w:val="18"/>
        </w:rPr>
      </w:pPr>
    </w:p>
    <w:p w14:paraId="5AA2FB4E" w14:textId="77777777" w:rsidR="00FD12E6" w:rsidRDefault="00FD12E6" w:rsidP="00FD12E6">
      <w:pPr>
        <w:pStyle w:val="Sansinterligne"/>
        <w:rPr>
          <w:rStyle w:val="apple-converted-space"/>
          <w:rFonts w:ascii="Century Gothic" w:eastAsia="Zine Slab Display OT" w:hAnsi="Century Gothic" w:cs="Arial"/>
          <w:b/>
          <w:color w:val="333333"/>
          <w:sz w:val="18"/>
          <w:szCs w:val="18"/>
        </w:rPr>
      </w:pPr>
      <w:r>
        <w:rPr>
          <w:rFonts w:ascii="Century Gothic" w:hAnsi="Century Gothic"/>
          <w:color w:val="333333"/>
          <w:sz w:val="18"/>
          <w:szCs w:val="18"/>
        </w:rPr>
        <w:t xml:space="preserve">&gt; </w:t>
      </w:r>
      <w:r w:rsidRPr="008246B6">
        <w:rPr>
          <w:rFonts w:ascii="Century Gothic" w:hAnsi="Century Gothic"/>
          <w:color w:val="333333"/>
          <w:sz w:val="18"/>
          <w:szCs w:val="18"/>
        </w:rPr>
        <w:t xml:space="preserve">Le projet doit impliquer </w:t>
      </w:r>
      <w:r w:rsidRPr="008246B6">
        <w:rPr>
          <w:rStyle w:val="lev"/>
          <w:rFonts w:ascii="Century Gothic" w:eastAsiaTheme="majorEastAsia" w:hAnsi="Century Gothic" w:cs="Arial"/>
          <w:color w:val="333333"/>
          <w:sz w:val="18"/>
          <w:szCs w:val="18"/>
          <w:bdr w:val="none" w:sz="0" w:space="0" w:color="auto" w:frame="1"/>
        </w:rPr>
        <w:t>un membre suisse et un membre français de la Communauté du savoir.</w:t>
      </w:r>
      <w:r w:rsidRPr="008246B6">
        <w:rPr>
          <w:rStyle w:val="apple-converted-space"/>
          <w:rFonts w:ascii="Century Gothic" w:eastAsia="Zine Slab Display OT" w:hAnsi="Century Gothic" w:cs="Arial"/>
          <w:color w:val="333333"/>
          <w:sz w:val="18"/>
          <w:szCs w:val="18"/>
        </w:rPr>
        <w:t xml:space="preserve"> Néanmoins, la Cds peut </w:t>
      </w:r>
      <w:r w:rsidRPr="008246B6">
        <w:rPr>
          <w:rStyle w:val="apple-converted-space"/>
          <w:rFonts w:ascii="Century Gothic" w:eastAsia="Zine Slab Display OT" w:hAnsi="Century Gothic" w:cs="Arial"/>
          <w:b/>
          <w:color w:val="333333"/>
          <w:sz w:val="18"/>
          <w:szCs w:val="18"/>
        </w:rPr>
        <w:t>examiner au cas par cas et accepter, des projets comprenant uniquement un membre de la Cds et des partenaires tiers.</w:t>
      </w:r>
    </w:p>
    <w:p w14:paraId="398FCCE2" w14:textId="77777777" w:rsidR="00FD12E6" w:rsidRDefault="00FD12E6" w:rsidP="00FD12E6">
      <w:pPr>
        <w:pStyle w:val="Sansinterligne"/>
        <w:rPr>
          <w:rStyle w:val="apple-converted-space"/>
          <w:rFonts w:ascii="Century Gothic" w:eastAsia="Zine Slab Display OT" w:hAnsi="Century Gothic" w:cs="Arial"/>
          <w:b/>
          <w:color w:val="333333"/>
          <w:sz w:val="18"/>
          <w:szCs w:val="18"/>
        </w:rPr>
      </w:pPr>
    </w:p>
    <w:p w14:paraId="5CB3C301" w14:textId="77777777" w:rsidR="00FD12E6" w:rsidRPr="00C47859" w:rsidRDefault="00FD12E6" w:rsidP="00FD12E6">
      <w:pPr>
        <w:pStyle w:val="Sansinterligne"/>
        <w:rPr>
          <w:rFonts w:ascii="Century Gothic" w:hAnsi="Century Gothic"/>
          <w:color w:val="333333"/>
          <w:sz w:val="18"/>
          <w:szCs w:val="18"/>
        </w:rPr>
      </w:pPr>
      <w:r>
        <w:rPr>
          <w:rStyle w:val="apple-converted-space"/>
          <w:rFonts w:ascii="Century Gothic" w:eastAsia="Zine Slab Display OT" w:hAnsi="Century Gothic" w:cs="Arial"/>
          <w:b/>
          <w:color w:val="333333"/>
          <w:sz w:val="18"/>
          <w:szCs w:val="18"/>
        </w:rPr>
        <w:t xml:space="preserve">&gt; </w:t>
      </w:r>
      <w:r w:rsidRPr="008246B6">
        <w:rPr>
          <w:rFonts w:ascii="Century Gothic" w:hAnsi="Century Gothic"/>
          <w:color w:val="333333"/>
          <w:sz w:val="18"/>
          <w:szCs w:val="18"/>
        </w:rPr>
        <w:t xml:space="preserve">Les projets devront porter sur l'une des deux thématiques transversales jugées prioritaires par le réseau, </w:t>
      </w:r>
      <w:r w:rsidRPr="00C47859">
        <w:rPr>
          <w:rFonts w:ascii="Century Gothic" w:hAnsi="Century Gothic"/>
          <w:color w:val="333333"/>
          <w:sz w:val="18"/>
          <w:szCs w:val="18"/>
        </w:rPr>
        <w:t>en référence aux enjeux de l’Arc jurassien et aux objectifs stratégiques :</w:t>
      </w:r>
    </w:p>
    <w:p w14:paraId="774CF372" w14:textId="77777777" w:rsidR="00FD12E6" w:rsidRPr="00C47859" w:rsidRDefault="00FD12E6" w:rsidP="00FD12E6">
      <w:pPr>
        <w:pStyle w:val="Sansinterligne"/>
        <w:rPr>
          <w:rFonts w:ascii="Century Gothic" w:hAnsi="Century Gothic"/>
          <w:color w:val="333333"/>
          <w:sz w:val="18"/>
          <w:szCs w:val="18"/>
        </w:rPr>
      </w:pPr>
      <w:r w:rsidRPr="00C47859">
        <w:rPr>
          <w:rFonts w:ascii="Century Gothic" w:hAnsi="Century Gothic"/>
          <w:color w:val="333333"/>
          <w:sz w:val="18"/>
          <w:szCs w:val="18"/>
        </w:rPr>
        <w:t>- « société et industrie 4.0 » ;</w:t>
      </w:r>
    </w:p>
    <w:p w14:paraId="5E2466CE" w14:textId="77777777" w:rsidR="00FD12E6" w:rsidRPr="008246B6" w:rsidRDefault="00FD12E6" w:rsidP="00FD12E6">
      <w:pPr>
        <w:pStyle w:val="Sansinterligne"/>
        <w:rPr>
          <w:rFonts w:ascii="Century Gothic" w:hAnsi="Century Gothic"/>
          <w:color w:val="333333"/>
          <w:sz w:val="18"/>
          <w:szCs w:val="18"/>
        </w:rPr>
      </w:pPr>
      <w:r w:rsidRPr="00C47859">
        <w:rPr>
          <w:rFonts w:ascii="Century Gothic" w:hAnsi="Century Gothic"/>
          <w:color w:val="333333"/>
          <w:sz w:val="18"/>
          <w:szCs w:val="18"/>
        </w:rPr>
        <w:t>- « nouveaux enjeux territoriaux ».</w:t>
      </w:r>
    </w:p>
    <w:p w14:paraId="3588D98F" w14:textId="77777777" w:rsidR="00FD12E6" w:rsidRDefault="00FD12E6" w:rsidP="00FD12E6">
      <w:pPr>
        <w:pStyle w:val="Sansinterligne"/>
        <w:rPr>
          <w:rFonts w:ascii="Century Gothic" w:hAnsi="Century Gothic"/>
          <w:sz w:val="18"/>
          <w:szCs w:val="18"/>
        </w:rPr>
      </w:pPr>
    </w:p>
    <w:p w14:paraId="5E0F0BEE" w14:textId="77777777" w:rsidR="00FD12E6" w:rsidRPr="008246B6" w:rsidRDefault="00FD12E6" w:rsidP="00FD12E6">
      <w:pPr>
        <w:pStyle w:val="Sansinterligne"/>
        <w:rPr>
          <w:rFonts w:ascii="Century Gothic" w:hAnsi="Century Gothic"/>
          <w:sz w:val="18"/>
          <w:szCs w:val="18"/>
        </w:rPr>
      </w:pPr>
    </w:p>
    <w:p w14:paraId="02498028" w14:textId="77777777" w:rsidR="00FD12E6" w:rsidRPr="008246B6" w:rsidRDefault="00FD12E6" w:rsidP="00FD12E6">
      <w:pPr>
        <w:pStyle w:val="Sansinterligne"/>
        <w:rPr>
          <w:rFonts w:ascii="Century Gothic" w:eastAsiaTheme="majorEastAsia" w:hAnsi="Century Gothic"/>
          <w:color w:val="008ECC"/>
          <w:sz w:val="18"/>
          <w:szCs w:val="18"/>
        </w:rPr>
      </w:pPr>
      <w:r w:rsidRPr="008246B6">
        <w:rPr>
          <w:rFonts w:ascii="Century Gothic" w:eastAsiaTheme="majorEastAsia" w:hAnsi="Century Gothic"/>
          <w:color w:val="008ECC"/>
          <w:sz w:val="18"/>
          <w:szCs w:val="18"/>
        </w:rPr>
        <w:t xml:space="preserve">Engagements </w:t>
      </w:r>
    </w:p>
    <w:p w14:paraId="58C63813" w14:textId="77777777" w:rsidR="00FD12E6" w:rsidRPr="00B937A4" w:rsidRDefault="00FD12E6" w:rsidP="00FD12E6">
      <w:pPr>
        <w:pStyle w:val="Sansinterligne"/>
        <w:rPr>
          <w:rFonts w:ascii="Century Gothic" w:hAnsi="Century Gothic"/>
          <w:sz w:val="18"/>
          <w:szCs w:val="18"/>
          <w:u w:val="single"/>
        </w:rPr>
      </w:pPr>
      <w:r w:rsidRPr="00B937A4">
        <w:rPr>
          <w:rFonts w:ascii="Century Gothic" w:hAnsi="Century Gothic"/>
          <w:sz w:val="18"/>
          <w:szCs w:val="18"/>
          <w:u w:val="single"/>
        </w:rPr>
        <w:t>Dépenses</w:t>
      </w:r>
    </w:p>
    <w:p w14:paraId="47621DED" w14:textId="77777777" w:rsidR="00FD12E6" w:rsidRDefault="00FD12E6" w:rsidP="00FD12E6">
      <w:pPr>
        <w:pStyle w:val="Sansinterligne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Toutes dépenses doivent être justifiées en transmettant tout document opposable (exemple : factures). </w:t>
      </w:r>
    </w:p>
    <w:p w14:paraId="1A22E298" w14:textId="77777777" w:rsidR="00FD12E6" w:rsidRDefault="00FD12E6" w:rsidP="00FD12E6">
      <w:pPr>
        <w:pStyle w:val="Sansinterligne"/>
        <w:rPr>
          <w:rFonts w:ascii="Century Gothic" w:hAnsi="Century Gothic"/>
          <w:sz w:val="18"/>
          <w:szCs w:val="18"/>
        </w:rPr>
      </w:pPr>
      <w:bookmarkStart w:id="0" w:name="_GoBack"/>
      <w:bookmarkEnd w:id="0"/>
    </w:p>
    <w:p w14:paraId="475B9E5C" w14:textId="77777777" w:rsidR="00FD12E6" w:rsidRDefault="00FD12E6" w:rsidP="00FD12E6">
      <w:pPr>
        <w:pStyle w:val="Sansinterligne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L</w:t>
      </w:r>
      <w:r w:rsidRPr="008246B6">
        <w:rPr>
          <w:rFonts w:ascii="Century Gothic" w:hAnsi="Century Gothic"/>
          <w:sz w:val="18"/>
          <w:szCs w:val="18"/>
        </w:rPr>
        <w:t>es bénéficiaires de l'appel à projets s'engagent vis-à-vis de la Communauté du savoir à respecter les règles et obligations selon les</w:t>
      </w:r>
      <w:r>
        <w:rPr>
          <w:rFonts w:ascii="Century Gothic" w:hAnsi="Century Gothic"/>
          <w:sz w:val="18"/>
          <w:szCs w:val="18"/>
        </w:rPr>
        <w:t xml:space="preserve"> procédures internes en vigueur dans son entité de rattachement.</w:t>
      </w:r>
    </w:p>
    <w:p w14:paraId="20D711A8" w14:textId="77777777" w:rsidR="00FD12E6" w:rsidRDefault="00FD12E6" w:rsidP="00FD12E6">
      <w:pPr>
        <w:pStyle w:val="Sansinterligne"/>
        <w:rPr>
          <w:rFonts w:ascii="Century Gothic" w:hAnsi="Century Gothic"/>
          <w:sz w:val="18"/>
          <w:szCs w:val="18"/>
        </w:rPr>
      </w:pPr>
      <w:r w:rsidRPr="008246B6">
        <w:rPr>
          <w:rFonts w:ascii="Century Gothic" w:hAnsi="Century Gothic"/>
          <w:sz w:val="18"/>
          <w:szCs w:val="18"/>
        </w:rPr>
        <w:t>La Communauté du savoir se réserve le droit de ne pas financer des dépenses qui apparaitraient inadaptées ou excessives en regard du projet et de ses objectifs.</w:t>
      </w:r>
    </w:p>
    <w:p w14:paraId="75CD1286" w14:textId="0858F74A" w:rsidR="00FD12E6" w:rsidRPr="0095483B" w:rsidRDefault="00FD12E6" w:rsidP="00FD12E6">
      <w:pPr>
        <w:pStyle w:val="Sansinterligne"/>
        <w:rPr>
          <w:rFonts w:ascii="Century Gothic" w:hAnsi="Century Gothic"/>
          <w:sz w:val="18"/>
          <w:szCs w:val="18"/>
        </w:rPr>
      </w:pPr>
      <w:r w:rsidRPr="0095483B">
        <w:rPr>
          <w:rFonts w:ascii="Century Gothic" w:hAnsi="Century Gothic"/>
          <w:sz w:val="18"/>
          <w:szCs w:val="18"/>
        </w:rPr>
        <w:t>Aucune d</w:t>
      </w:r>
      <w:r w:rsidR="00DB6E2A">
        <w:rPr>
          <w:rFonts w:ascii="Century Gothic" w:hAnsi="Century Gothic"/>
          <w:sz w:val="18"/>
          <w:szCs w:val="18"/>
        </w:rPr>
        <w:t>épense postérieure au 30/11/2021</w:t>
      </w:r>
      <w:r w:rsidRPr="0095483B">
        <w:rPr>
          <w:rFonts w:ascii="Century Gothic" w:hAnsi="Century Gothic"/>
          <w:sz w:val="18"/>
          <w:szCs w:val="18"/>
        </w:rPr>
        <w:t xml:space="preserve"> ne pourra être prise en charge.</w:t>
      </w:r>
    </w:p>
    <w:p w14:paraId="574C9D3C" w14:textId="77777777" w:rsidR="00FD12E6" w:rsidRPr="008246B6" w:rsidRDefault="00FD12E6" w:rsidP="00FD12E6">
      <w:pPr>
        <w:pStyle w:val="Sansinterligne"/>
        <w:rPr>
          <w:rFonts w:ascii="Century Gothic" w:hAnsi="Century Gothic"/>
          <w:sz w:val="18"/>
          <w:szCs w:val="18"/>
          <w:u w:val="single"/>
        </w:rPr>
      </w:pPr>
    </w:p>
    <w:p w14:paraId="3138D8B2" w14:textId="77777777" w:rsidR="00FD12E6" w:rsidRDefault="00FD12E6" w:rsidP="00FD12E6">
      <w:pPr>
        <w:pStyle w:val="Sansinterligne"/>
        <w:rPr>
          <w:rFonts w:ascii="Century Gothic" w:hAnsi="Century Gothic"/>
          <w:sz w:val="18"/>
          <w:szCs w:val="18"/>
          <w:u w:val="single"/>
        </w:rPr>
      </w:pPr>
      <w:r>
        <w:rPr>
          <w:rFonts w:ascii="Century Gothic" w:hAnsi="Century Gothic"/>
          <w:sz w:val="18"/>
          <w:szCs w:val="18"/>
          <w:u w:val="single"/>
        </w:rPr>
        <w:t>Communication</w:t>
      </w:r>
    </w:p>
    <w:p w14:paraId="6CDDEC98" w14:textId="77777777" w:rsidR="00FD12E6" w:rsidRDefault="00FD12E6" w:rsidP="00FD12E6">
      <w:pPr>
        <w:pStyle w:val="Sansinterligne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Présence du logo Communauté du savoir sur les supports physiques et web (logo disponibles sur le site de la Cds).</w:t>
      </w:r>
    </w:p>
    <w:p w14:paraId="18CA6B72" w14:textId="77777777" w:rsidR="00FD12E6" w:rsidRDefault="00FD12E6" w:rsidP="00FD12E6">
      <w:pPr>
        <w:pStyle w:val="Sansinterligne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Envoi de ces supports au Bureau de coordination. </w:t>
      </w:r>
    </w:p>
    <w:p w14:paraId="2888C15E" w14:textId="77777777" w:rsidR="00FD12E6" w:rsidRDefault="00FD12E6" w:rsidP="00FD12E6">
      <w:pPr>
        <w:pStyle w:val="Sansinterligne"/>
        <w:rPr>
          <w:rFonts w:ascii="Century Gothic" w:hAnsi="Century Gothic"/>
          <w:sz w:val="18"/>
          <w:szCs w:val="18"/>
          <w:u w:val="single"/>
        </w:rPr>
      </w:pPr>
    </w:p>
    <w:p w14:paraId="216EFB88" w14:textId="77777777" w:rsidR="00FD12E6" w:rsidRDefault="00FD12E6" w:rsidP="00FD12E6">
      <w:pPr>
        <w:pStyle w:val="Sansinterligne"/>
        <w:rPr>
          <w:rFonts w:ascii="Century Gothic" w:hAnsi="Century Gothic"/>
          <w:sz w:val="18"/>
          <w:szCs w:val="18"/>
          <w:u w:val="single"/>
        </w:rPr>
      </w:pPr>
      <w:r>
        <w:rPr>
          <w:rFonts w:ascii="Century Gothic" w:hAnsi="Century Gothic"/>
          <w:sz w:val="18"/>
          <w:szCs w:val="18"/>
          <w:u w:val="single"/>
        </w:rPr>
        <w:t>Livrable</w:t>
      </w:r>
    </w:p>
    <w:p w14:paraId="39B455B7" w14:textId="77777777" w:rsidR="00FD12E6" w:rsidRDefault="00FD12E6" w:rsidP="00FD12E6">
      <w:pPr>
        <w:pStyle w:val="Sansinterligne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À l'issue des évènements financés dans le cadre du projet, le porteur du projet et les partenaires, s'engage à produire un livrable en utilisant le modèle transmis par la Cds, au plus tard, 1 mois après la fin du projet.</w:t>
      </w:r>
    </w:p>
    <w:p w14:paraId="564927FE" w14:textId="77777777" w:rsidR="00FD12E6" w:rsidRDefault="00FD12E6" w:rsidP="00FD12E6">
      <w:pPr>
        <w:pStyle w:val="Sansinterligne"/>
        <w:rPr>
          <w:rFonts w:ascii="Century Gothic" w:hAnsi="Century Gothic"/>
          <w:sz w:val="18"/>
          <w:szCs w:val="18"/>
        </w:rPr>
      </w:pPr>
    </w:p>
    <w:p w14:paraId="4F90254C" w14:textId="77777777" w:rsidR="00FD12E6" w:rsidRPr="008246B6" w:rsidRDefault="00FD12E6" w:rsidP="00FD12E6">
      <w:pPr>
        <w:pStyle w:val="Sansinterligne"/>
        <w:rPr>
          <w:rFonts w:ascii="Century Gothic" w:hAnsi="Century Gothic"/>
          <w:sz w:val="18"/>
          <w:szCs w:val="18"/>
        </w:rPr>
      </w:pPr>
    </w:p>
    <w:p w14:paraId="67F3AF45" w14:textId="77777777" w:rsidR="00FD12E6" w:rsidRPr="0095483B" w:rsidRDefault="00FD12E6" w:rsidP="00FD12E6">
      <w:pPr>
        <w:pStyle w:val="Sansinterligne"/>
        <w:rPr>
          <w:rFonts w:ascii="Century Gothic" w:eastAsiaTheme="majorEastAsia" w:hAnsi="Century Gothic"/>
          <w:color w:val="008ECC"/>
          <w:sz w:val="18"/>
          <w:szCs w:val="18"/>
        </w:rPr>
      </w:pPr>
      <w:r w:rsidRPr="0095483B">
        <w:rPr>
          <w:rFonts w:ascii="Century Gothic" w:eastAsiaTheme="majorEastAsia" w:hAnsi="Century Gothic"/>
          <w:color w:val="008ECC"/>
          <w:sz w:val="18"/>
          <w:szCs w:val="18"/>
        </w:rPr>
        <w:t>Procédure de décision d’attribution de la subvention</w:t>
      </w:r>
    </w:p>
    <w:p w14:paraId="0A97E208" w14:textId="77777777" w:rsidR="00FD12E6" w:rsidRDefault="00FD12E6" w:rsidP="00FD12E6">
      <w:pPr>
        <w:pStyle w:val="Sansinterligne"/>
        <w:rPr>
          <w:rFonts w:ascii="Century Gothic" w:hAnsi="Century Gothic"/>
          <w:sz w:val="18"/>
          <w:szCs w:val="18"/>
        </w:rPr>
      </w:pPr>
      <w:r w:rsidRPr="008246B6">
        <w:rPr>
          <w:rFonts w:ascii="Century Gothic" w:hAnsi="Century Gothic"/>
          <w:sz w:val="18"/>
          <w:szCs w:val="18"/>
        </w:rPr>
        <w:t xml:space="preserve">Une fois le dépôt effectué, un accusé de réception de votre demande est émis par le </w:t>
      </w:r>
      <w:r>
        <w:rPr>
          <w:rFonts w:ascii="Century Gothic" w:hAnsi="Century Gothic"/>
          <w:sz w:val="18"/>
          <w:szCs w:val="18"/>
        </w:rPr>
        <w:t xml:space="preserve">Bureau de coordination </w:t>
      </w:r>
      <w:r w:rsidRPr="008246B6">
        <w:rPr>
          <w:rFonts w:ascii="Century Gothic" w:hAnsi="Century Gothic"/>
          <w:sz w:val="18"/>
          <w:szCs w:val="18"/>
        </w:rPr>
        <w:t>de la Communauté du savoir.</w:t>
      </w:r>
      <w:r>
        <w:rPr>
          <w:rFonts w:ascii="Century Gothic" w:hAnsi="Century Gothic"/>
          <w:sz w:val="18"/>
          <w:szCs w:val="18"/>
        </w:rPr>
        <w:t xml:space="preserve"> </w:t>
      </w:r>
    </w:p>
    <w:p w14:paraId="6B74A80C" w14:textId="0F1919C5" w:rsidR="00203E90" w:rsidRPr="00FD12E6" w:rsidRDefault="00FD12E6" w:rsidP="00540C52">
      <w:pPr>
        <w:pStyle w:val="Sansinterligne"/>
        <w:rPr>
          <w:rFonts w:ascii="Century Gothic" w:hAnsi="Century Gothic"/>
          <w:sz w:val="18"/>
          <w:szCs w:val="18"/>
        </w:rPr>
      </w:pPr>
      <w:r w:rsidRPr="008246B6">
        <w:rPr>
          <w:rFonts w:ascii="Century Gothic" w:hAnsi="Century Gothic"/>
          <w:sz w:val="18"/>
          <w:szCs w:val="18"/>
        </w:rPr>
        <w:t xml:space="preserve">La demande est ensuite </w:t>
      </w:r>
      <w:r>
        <w:rPr>
          <w:rFonts w:ascii="Century Gothic" w:hAnsi="Century Gothic"/>
          <w:sz w:val="18"/>
          <w:szCs w:val="18"/>
        </w:rPr>
        <w:t xml:space="preserve">transmise à la Commission de la Cds, </w:t>
      </w:r>
      <w:r w:rsidRPr="008246B6">
        <w:rPr>
          <w:rFonts w:ascii="Century Gothic" w:hAnsi="Century Gothic"/>
          <w:sz w:val="18"/>
          <w:szCs w:val="18"/>
        </w:rPr>
        <w:t>qui examine la validité des critères formels. Ce dernier se réserve le droit de demander des précisions complémentaires, si nécessaire.</w:t>
      </w:r>
    </w:p>
    <w:sectPr w:rsidR="00203E90" w:rsidRPr="00FD12E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702A05" w14:textId="77777777" w:rsidR="00F94473" w:rsidRDefault="00F94473" w:rsidP="0020360B">
      <w:pPr>
        <w:spacing w:after="0" w:line="240" w:lineRule="auto"/>
      </w:pPr>
      <w:r>
        <w:separator/>
      </w:r>
    </w:p>
  </w:endnote>
  <w:endnote w:type="continuationSeparator" w:id="0">
    <w:p w14:paraId="0D12F45C" w14:textId="77777777" w:rsidR="00F94473" w:rsidRDefault="00F94473" w:rsidP="00203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ZineSlabDisplayOT">
    <w:altName w:val="Times New Roman"/>
    <w:charset w:val="00"/>
    <w:family w:val="auto"/>
    <w:pitch w:val="variable"/>
    <w:sig w:usb0="800000EF" w:usb1="5000606A" w:usb2="00000008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ine Serif Display OT">
    <w:altName w:val="Times New Roman"/>
    <w:charset w:val="00"/>
    <w:family w:val="auto"/>
    <w:pitch w:val="variable"/>
    <w:sig w:usb0="800000EF" w:usb1="5000606A" w:usb2="00000008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ine Slab Display OT">
    <w:altName w:val="Times New Roman"/>
    <w:charset w:val="00"/>
    <w:family w:val="auto"/>
    <w:pitch w:val="variable"/>
    <w:sig w:usb0="800000EF" w:usb1="5000606A" w:usb2="00000008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F0E49D" w14:textId="77777777" w:rsidR="00F94473" w:rsidRDefault="00F94473" w:rsidP="0020360B">
      <w:pPr>
        <w:spacing w:after="0" w:line="240" w:lineRule="auto"/>
      </w:pPr>
      <w:r>
        <w:separator/>
      </w:r>
    </w:p>
  </w:footnote>
  <w:footnote w:type="continuationSeparator" w:id="0">
    <w:p w14:paraId="3BAC579A" w14:textId="77777777" w:rsidR="00F94473" w:rsidRDefault="00F94473" w:rsidP="002036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A9515C" w14:textId="77777777" w:rsidR="0020360B" w:rsidRDefault="0020360B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1" locked="0" layoutInCell="1" allowOverlap="1" wp14:anchorId="213EAC99" wp14:editId="7C703F99">
          <wp:simplePos x="0" y="0"/>
          <wp:positionH relativeFrom="column">
            <wp:posOffset>-571500</wp:posOffset>
          </wp:positionH>
          <wp:positionV relativeFrom="paragraph">
            <wp:posOffset>-286385</wp:posOffset>
          </wp:positionV>
          <wp:extent cx="1905000" cy="857250"/>
          <wp:effectExtent l="0" t="0" r="0" b="0"/>
          <wp:wrapTight wrapText="bothSides">
            <wp:wrapPolygon edited="0">
              <wp:start x="4320" y="960"/>
              <wp:lineTo x="1296" y="4800"/>
              <wp:lineTo x="864" y="5760"/>
              <wp:lineTo x="1296" y="9600"/>
              <wp:lineTo x="3024" y="17280"/>
              <wp:lineTo x="3024" y="19200"/>
              <wp:lineTo x="3672" y="19680"/>
              <wp:lineTo x="7128" y="20640"/>
              <wp:lineTo x="12096" y="20640"/>
              <wp:lineTo x="16848" y="19680"/>
              <wp:lineTo x="17280" y="17760"/>
              <wp:lineTo x="14256" y="17280"/>
              <wp:lineTo x="20520" y="14880"/>
              <wp:lineTo x="20088" y="12480"/>
              <wp:lineTo x="5400" y="9600"/>
              <wp:lineTo x="5616" y="960"/>
              <wp:lineTo x="4320" y="960"/>
            </wp:wrapPolygon>
          </wp:wrapTight>
          <wp:docPr id="2" name="Image 2" descr="cid:c8b99d20a2579dbea264da936944038b2e5e6308@zimbr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cid:c8b99d20a2579dbea264da936944038b2e5e6308@zimbr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9307B"/>
    <w:multiLevelType w:val="hybridMultilevel"/>
    <w:tmpl w:val="3200A7F8"/>
    <w:lvl w:ilvl="0" w:tplc="4F24952C">
      <w:start w:val="1"/>
      <w:numFmt w:val="bullet"/>
      <w:lvlText w:val="&gt;"/>
      <w:lvlJc w:val="left"/>
      <w:pPr>
        <w:ind w:left="720" w:hanging="360"/>
      </w:pPr>
      <w:rPr>
        <w:rFonts w:ascii="ZineSlabDisplayOT" w:hAnsi="ZineSlabDisplayOT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8588E"/>
    <w:multiLevelType w:val="hybridMultilevel"/>
    <w:tmpl w:val="2B5A81C2"/>
    <w:lvl w:ilvl="0" w:tplc="4F24952C">
      <w:start w:val="1"/>
      <w:numFmt w:val="bullet"/>
      <w:lvlText w:val="&gt;"/>
      <w:lvlJc w:val="left"/>
      <w:pPr>
        <w:ind w:left="720" w:hanging="360"/>
      </w:pPr>
      <w:rPr>
        <w:rFonts w:ascii="ZineSlabDisplayOT" w:hAnsi="ZineSlabDisplayOT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ED35F1"/>
    <w:multiLevelType w:val="hybridMultilevel"/>
    <w:tmpl w:val="3E12A1C2"/>
    <w:lvl w:ilvl="0" w:tplc="4F24952C">
      <w:start w:val="1"/>
      <w:numFmt w:val="bullet"/>
      <w:lvlText w:val="&gt;"/>
      <w:lvlJc w:val="left"/>
      <w:pPr>
        <w:ind w:left="720" w:hanging="360"/>
      </w:pPr>
      <w:rPr>
        <w:rFonts w:ascii="ZineSlabDisplayOT" w:hAnsi="ZineSlabDisplayOT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6E4442"/>
    <w:multiLevelType w:val="hybridMultilevel"/>
    <w:tmpl w:val="AEAC76FE"/>
    <w:lvl w:ilvl="0" w:tplc="4F24952C">
      <w:start w:val="1"/>
      <w:numFmt w:val="bullet"/>
      <w:lvlText w:val="&gt;"/>
      <w:lvlJc w:val="left"/>
      <w:pPr>
        <w:ind w:left="720" w:hanging="360"/>
      </w:pPr>
      <w:rPr>
        <w:rFonts w:ascii="ZineSlabDisplayOT" w:hAnsi="ZineSlabDisplayOT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EF7429"/>
    <w:multiLevelType w:val="hybridMultilevel"/>
    <w:tmpl w:val="2610A7C6"/>
    <w:lvl w:ilvl="0" w:tplc="A8540F66">
      <w:numFmt w:val="bullet"/>
      <w:lvlText w:val="-"/>
      <w:lvlJc w:val="left"/>
      <w:pPr>
        <w:ind w:left="720" w:hanging="360"/>
      </w:pPr>
      <w:rPr>
        <w:rFonts w:ascii="Tahoma" w:eastAsia="Zine Serif Display OT" w:hAnsi="Tahoma" w:cs="Tahoma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187F38"/>
    <w:multiLevelType w:val="hybridMultilevel"/>
    <w:tmpl w:val="BA062B56"/>
    <w:lvl w:ilvl="0" w:tplc="4F24952C">
      <w:start w:val="1"/>
      <w:numFmt w:val="bullet"/>
      <w:lvlText w:val="&gt;"/>
      <w:lvlJc w:val="left"/>
      <w:pPr>
        <w:ind w:left="720" w:hanging="360"/>
      </w:pPr>
      <w:rPr>
        <w:rFonts w:ascii="ZineSlabDisplayOT" w:hAnsi="ZineSlabDisplayOT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F713BD"/>
    <w:multiLevelType w:val="hybridMultilevel"/>
    <w:tmpl w:val="2C0C1CA8"/>
    <w:lvl w:ilvl="0" w:tplc="14CC1FE6">
      <w:start w:val="9"/>
      <w:numFmt w:val="bullet"/>
      <w:lvlText w:val="-"/>
      <w:lvlJc w:val="left"/>
      <w:pPr>
        <w:ind w:left="720" w:hanging="360"/>
      </w:pPr>
      <w:rPr>
        <w:rFonts w:ascii="Tahoma" w:eastAsia="Zine Serif Display OT" w:hAnsi="Tahoma" w:cs="Tahoma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651C70"/>
    <w:multiLevelType w:val="hybridMultilevel"/>
    <w:tmpl w:val="060AFFAE"/>
    <w:lvl w:ilvl="0" w:tplc="9CA2848A">
      <w:numFmt w:val="bullet"/>
      <w:lvlText w:val="-"/>
      <w:lvlJc w:val="left"/>
      <w:pPr>
        <w:ind w:left="720" w:hanging="360"/>
      </w:pPr>
      <w:rPr>
        <w:rFonts w:ascii="Century Gothic" w:eastAsia="Zine Serif Display OT" w:hAnsi="Century Gothic" w:cs="Zine Serif Display O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60B"/>
    <w:rsid w:val="0010400E"/>
    <w:rsid w:val="00145FE0"/>
    <w:rsid w:val="001F34F0"/>
    <w:rsid w:val="0020360B"/>
    <w:rsid w:val="00203E90"/>
    <w:rsid w:val="0025412A"/>
    <w:rsid w:val="002C299A"/>
    <w:rsid w:val="002F072A"/>
    <w:rsid w:val="00326236"/>
    <w:rsid w:val="00357675"/>
    <w:rsid w:val="00441EF9"/>
    <w:rsid w:val="00540C52"/>
    <w:rsid w:val="00603947"/>
    <w:rsid w:val="006B78CF"/>
    <w:rsid w:val="007846DC"/>
    <w:rsid w:val="007C76C0"/>
    <w:rsid w:val="007D3EBE"/>
    <w:rsid w:val="008246B6"/>
    <w:rsid w:val="008D64D2"/>
    <w:rsid w:val="00924CC2"/>
    <w:rsid w:val="0095483B"/>
    <w:rsid w:val="00973ED0"/>
    <w:rsid w:val="009C1627"/>
    <w:rsid w:val="009C71BA"/>
    <w:rsid w:val="009D41BF"/>
    <w:rsid w:val="00A53BEF"/>
    <w:rsid w:val="00B106BB"/>
    <w:rsid w:val="00B205A3"/>
    <w:rsid w:val="00B937A4"/>
    <w:rsid w:val="00C1106F"/>
    <w:rsid w:val="00C3563D"/>
    <w:rsid w:val="00CD261E"/>
    <w:rsid w:val="00DB6E2A"/>
    <w:rsid w:val="00F94473"/>
    <w:rsid w:val="00FD1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6B4BE"/>
  <w15:chartTrackingRefBased/>
  <w15:docId w15:val="{8E797B5F-945A-43C9-AB32-AC14ACCE8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CD261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0360B"/>
    <w:pPr>
      <w:keepNext/>
      <w:keepLines/>
      <w:widowControl w:val="0"/>
      <w:spacing w:after="300" w:line="400" w:lineRule="exact"/>
      <w:outlineLvl w:val="1"/>
    </w:pPr>
    <w:rPr>
      <w:rFonts w:ascii="Tahoma" w:eastAsiaTheme="majorEastAsia" w:hAnsi="Tahoma" w:cstheme="majorBidi"/>
      <w:color w:val="000000" w:themeColor="text1"/>
      <w:sz w:val="40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924CC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036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0360B"/>
  </w:style>
  <w:style w:type="paragraph" w:styleId="Pieddepage">
    <w:name w:val="footer"/>
    <w:basedOn w:val="Normal"/>
    <w:link w:val="PieddepageCar"/>
    <w:uiPriority w:val="99"/>
    <w:unhideWhenUsed/>
    <w:rsid w:val="002036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0360B"/>
  </w:style>
  <w:style w:type="table" w:customStyle="1" w:styleId="TableauGrille4-Accentuation51">
    <w:name w:val="Tableau Grille 4 - Accentuation 51"/>
    <w:basedOn w:val="TableauNormal"/>
    <w:uiPriority w:val="49"/>
    <w:rsid w:val="0020360B"/>
    <w:pPr>
      <w:spacing w:after="0" w:line="240" w:lineRule="auto"/>
      <w:jc w:val="both"/>
    </w:pPr>
    <w:rPr>
      <w:rFonts w:eastAsia="MS Mincho"/>
      <w:sz w:val="20"/>
      <w:szCs w:val="20"/>
      <w:lang w:val="en-US"/>
    </w:rPr>
    <w:tblPr>
      <w:tblStyleRowBandSize w:val="1"/>
      <w:tblStyleColBandSize w:val="1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blPr/>
      <w:tcPr>
        <w:tcBorders>
          <w:top w:val="double" w:sz="4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/>
      </w:tcPr>
    </w:tblStylePr>
    <w:tblStylePr w:type="band1Horz">
      <w:tblPr/>
      <w:tcPr>
        <w:shd w:val="clear" w:color="auto" w:fill="DAEEF3"/>
      </w:tcPr>
    </w:tblStylePr>
  </w:style>
  <w:style w:type="character" w:customStyle="1" w:styleId="Titre2Car">
    <w:name w:val="Titre 2 Car"/>
    <w:basedOn w:val="Policepardfaut"/>
    <w:link w:val="Titre2"/>
    <w:uiPriority w:val="9"/>
    <w:rsid w:val="0020360B"/>
    <w:rPr>
      <w:rFonts w:ascii="Tahoma" w:eastAsiaTheme="majorEastAsia" w:hAnsi="Tahoma" w:cstheme="majorBidi"/>
      <w:color w:val="000000" w:themeColor="text1"/>
      <w:sz w:val="40"/>
      <w:szCs w:val="26"/>
    </w:rPr>
  </w:style>
  <w:style w:type="paragraph" w:customStyle="1" w:styleId="Intro2">
    <w:name w:val="Intro 2"/>
    <w:basedOn w:val="Normal"/>
    <w:next w:val="Normal"/>
    <w:qFormat/>
    <w:rsid w:val="0020360B"/>
    <w:pPr>
      <w:widowControl w:val="0"/>
      <w:spacing w:after="0" w:line="300" w:lineRule="exact"/>
      <w:jc w:val="both"/>
    </w:pPr>
    <w:rPr>
      <w:rFonts w:ascii="Tahoma" w:eastAsia="Zine Serif Display OT" w:hAnsi="Tahoma" w:cs="Zine Serif Display OT"/>
      <w:b/>
      <w:color w:val="008ECC"/>
      <w:spacing w:val="-4"/>
    </w:rPr>
  </w:style>
  <w:style w:type="paragraph" w:customStyle="1" w:styleId="Corps">
    <w:name w:val="Corps"/>
    <w:basedOn w:val="Normal"/>
    <w:rsid w:val="0020360B"/>
    <w:pPr>
      <w:spacing w:after="200" w:line="276" w:lineRule="auto"/>
      <w:jc w:val="both"/>
    </w:pPr>
    <w:rPr>
      <w:rFonts w:ascii="Tahoma" w:eastAsiaTheme="minorEastAsia" w:hAnsi="Tahoma"/>
      <w:szCs w:val="20"/>
      <w:lang w:val="en-US" w:bidi="fr-FR"/>
    </w:rPr>
  </w:style>
  <w:style w:type="character" w:styleId="Marquedecommentaire">
    <w:name w:val="annotation reference"/>
    <w:basedOn w:val="Policepardfaut"/>
    <w:uiPriority w:val="99"/>
    <w:semiHidden/>
    <w:unhideWhenUsed/>
    <w:rsid w:val="0020360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0360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0360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0360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0360B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03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360B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link w:val="ParagraphedelisteCar"/>
    <w:uiPriority w:val="34"/>
    <w:qFormat/>
    <w:rsid w:val="0020360B"/>
    <w:pPr>
      <w:widowControl w:val="0"/>
      <w:spacing w:after="0" w:line="300" w:lineRule="exact"/>
      <w:ind w:left="720"/>
      <w:contextualSpacing/>
      <w:jc w:val="both"/>
    </w:pPr>
    <w:rPr>
      <w:rFonts w:ascii="Tahoma" w:eastAsia="Zine Serif Display OT" w:hAnsi="Tahoma" w:cs="Zine Serif Display OT"/>
      <w:color w:val="000000" w:themeColor="text1"/>
      <w:spacing w:val="-2"/>
    </w:rPr>
  </w:style>
  <w:style w:type="character" w:styleId="Emphaseple">
    <w:name w:val="Subtle Emphasis"/>
    <w:basedOn w:val="Policepardfaut"/>
    <w:uiPriority w:val="19"/>
    <w:rsid w:val="0020360B"/>
    <w:rPr>
      <w:i/>
      <w:iCs/>
      <w:color w:val="808080" w:themeColor="text1" w:themeTint="7F"/>
    </w:rPr>
  </w:style>
  <w:style w:type="character" w:customStyle="1" w:styleId="ParagraphedelisteCar">
    <w:name w:val="Paragraphe de liste Car"/>
    <w:basedOn w:val="Policepardfaut"/>
    <w:link w:val="Paragraphedeliste"/>
    <w:uiPriority w:val="34"/>
    <w:locked/>
    <w:rsid w:val="0020360B"/>
    <w:rPr>
      <w:rFonts w:ascii="Tahoma" w:eastAsia="Zine Serif Display OT" w:hAnsi="Tahoma" w:cs="Zine Serif Display OT"/>
      <w:color w:val="000000" w:themeColor="text1"/>
      <w:spacing w:val="-2"/>
    </w:rPr>
  </w:style>
  <w:style w:type="character" w:customStyle="1" w:styleId="Titre1Car">
    <w:name w:val="Titre 1 Car"/>
    <w:basedOn w:val="Policepardfaut"/>
    <w:link w:val="Titre1"/>
    <w:uiPriority w:val="9"/>
    <w:rsid w:val="00CD261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Lienhypertexte">
    <w:name w:val="Hyperlink"/>
    <w:basedOn w:val="Policepardfaut"/>
    <w:uiPriority w:val="99"/>
    <w:unhideWhenUsed/>
    <w:rsid w:val="00CD261E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CD26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3Car">
    <w:name w:val="Titre 3 Car"/>
    <w:basedOn w:val="Policepardfaut"/>
    <w:link w:val="Titre3"/>
    <w:uiPriority w:val="9"/>
    <w:semiHidden/>
    <w:rsid w:val="00924CC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Intro">
    <w:name w:val="Intro"/>
    <w:basedOn w:val="Normal"/>
    <w:next w:val="Normal"/>
    <w:qFormat/>
    <w:rsid w:val="00924CC2"/>
    <w:pPr>
      <w:widowControl w:val="0"/>
      <w:spacing w:after="0" w:line="300" w:lineRule="exact"/>
      <w:jc w:val="both"/>
    </w:pPr>
    <w:rPr>
      <w:rFonts w:ascii="Tahoma" w:eastAsia="Zine Serif Display OT" w:hAnsi="Tahoma" w:cs="Zine Serif Display OT"/>
      <w:b/>
      <w:color w:val="FF0D00"/>
      <w:spacing w:val="-4"/>
    </w:rPr>
  </w:style>
  <w:style w:type="character" w:styleId="lev">
    <w:name w:val="Strong"/>
    <w:basedOn w:val="Policepardfaut"/>
    <w:uiPriority w:val="22"/>
    <w:qFormat/>
    <w:rsid w:val="00540C52"/>
    <w:rPr>
      <w:b/>
      <w:bCs/>
    </w:rPr>
  </w:style>
  <w:style w:type="character" w:styleId="Accentuation">
    <w:name w:val="Emphasis"/>
    <w:basedOn w:val="Policepardfaut"/>
    <w:uiPriority w:val="20"/>
    <w:qFormat/>
    <w:rsid w:val="00540C52"/>
    <w:rPr>
      <w:i/>
      <w:iCs/>
    </w:rPr>
  </w:style>
  <w:style w:type="character" w:customStyle="1" w:styleId="apple-converted-space">
    <w:name w:val="apple-converted-space"/>
    <w:basedOn w:val="Policepardfaut"/>
    <w:rsid w:val="00540C52"/>
  </w:style>
  <w:style w:type="paragraph" w:styleId="NormalWeb">
    <w:name w:val="Normal (Web)"/>
    <w:basedOn w:val="Normal"/>
    <w:uiPriority w:val="99"/>
    <w:unhideWhenUsed/>
    <w:rsid w:val="00540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CH" w:eastAsia="fr-FR"/>
    </w:rPr>
  </w:style>
  <w:style w:type="paragraph" w:styleId="Sansinterligne">
    <w:name w:val="No Spacing"/>
    <w:uiPriority w:val="1"/>
    <w:qFormat/>
    <w:rsid w:val="00540C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5EE9EE-E41A-470C-A1DB-7EC943D25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BEN DAOUD</dc:creator>
  <cp:keywords/>
  <dc:description/>
  <cp:lastModifiedBy>Nadia BEN DAOUD</cp:lastModifiedBy>
  <cp:revision>2</cp:revision>
  <cp:lastPrinted>2020-02-17T13:32:00Z</cp:lastPrinted>
  <dcterms:created xsi:type="dcterms:W3CDTF">2020-12-08T09:26:00Z</dcterms:created>
  <dcterms:modified xsi:type="dcterms:W3CDTF">2020-12-08T09:26:00Z</dcterms:modified>
</cp:coreProperties>
</file>